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Carlson Gerald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816"/>
        <w:gridCol w:w="276"/>
        <w:gridCol w:w="906"/>
        <w:gridCol w:w="801"/>
        <w:gridCol w:w="891"/>
        <w:gridCol w:w="921"/>
        <w:gridCol w:w="801"/>
        <w:gridCol w:w="117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132.51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13,536.0825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466.418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466.418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32.16</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14,002.5005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acquired by the reporting person under the 2019 Long-term incentive plan and deferred under the DDCP as of the date of this form. Each restricted stock unit is the contingent right to receive one share of Issuer common stock. Vested shares will be delivered to the reporting person based on the terms of the DDCP and the reporting persons distribution elections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common share equivalents held pursuant to Directors Deferred Compensation Plan as of the date of this form. Each common share equivalent is the economic equivalent of one share of common stock. Common stock equivalents become payable upon the reporting persons termination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/s/Gerald Carlson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carlson.txt"/>
      <w:bookmarkStart w:id="3" w:name="kssec16poa_carlson"/>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Gerald J. Carlson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794"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1456</Words>
  <Characters>7745</Characters>
  <CharactersWithSpaces>9076</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